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0921E9">
        <w:rPr>
          <w:rFonts w:ascii="Palatino Linotype" w:hAnsi="Palatino Linotype" w:cs="Arial"/>
          <w:b/>
          <w:bCs/>
          <w:sz w:val="23"/>
          <w:szCs w:val="23"/>
        </w:rPr>
        <w:t>4</w:t>
      </w:r>
      <w:r w:rsidR="008B04BB">
        <w:rPr>
          <w:rFonts w:ascii="Palatino Linotype" w:hAnsi="Palatino Linotype" w:cs="Arial"/>
          <w:b/>
          <w:bCs/>
          <w:sz w:val="23"/>
          <w:szCs w:val="23"/>
        </w:rPr>
        <w:t>132</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w:t>
      </w:r>
      <w:proofErr w:type="gramStart"/>
      <w:r w:rsidRPr="00427B79">
        <w:rPr>
          <w:rFonts w:ascii="Palatino Linotype" w:eastAsia="Calibri" w:hAnsi="Palatino Linotype" w:cs="Arial"/>
          <w:sz w:val="24"/>
          <w:szCs w:val="24"/>
        </w:rPr>
        <w:t>de</w:t>
      </w:r>
      <w:proofErr w:type="gramEnd"/>
      <w:r w:rsidRPr="00427B79">
        <w:rPr>
          <w:rFonts w:ascii="Palatino Linotype" w:eastAsia="Calibri" w:hAnsi="Palatino Linotype" w:cs="Arial"/>
          <w:sz w:val="24"/>
          <w:szCs w:val="24"/>
        </w:rPr>
        <w:t xml:space="preserv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80377C" w:rsidRPr="0080377C" w:rsidRDefault="00E6179D">
          <w:pPr>
            <w:pStyle w:val="TDC1"/>
            <w:rPr>
              <w:rFonts w:eastAsiaTheme="minorEastAsia"/>
              <w:b w:val="0"/>
              <w:sz w:val="24"/>
              <w:szCs w:val="24"/>
              <w:lang w:eastAsia="es-MX"/>
            </w:rPr>
          </w:pPr>
          <w:r w:rsidRPr="0080377C">
            <w:rPr>
              <w:sz w:val="24"/>
              <w:szCs w:val="24"/>
            </w:rPr>
            <w:fldChar w:fldCharType="begin"/>
          </w:r>
          <w:r w:rsidRPr="0080377C">
            <w:rPr>
              <w:sz w:val="24"/>
              <w:szCs w:val="24"/>
            </w:rPr>
            <w:instrText xml:space="preserve"> TOC \o "1-3" \h \z \u </w:instrText>
          </w:r>
          <w:r w:rsidRPr="0080377C">
            <w:rPr>
              <w:sz w:val="24"/>
              <w:szCs w:val="24"/>
            </w:rPr>
            <w:fldChar w:fldCharType="separate"/>
          </w:r>
          <w:hyperlink w:anchor="_Toc535585409" w:history="1">
            <w:r w:rsidR="0080377C" w:rsidRPr="0080377C">
              <w:rPr>
                <w:rStyle w:val="Hipervnculo"/>
                <w:rFonts w:eastAsia="Times New Roman"/>
                <w:sz w:val="24"/>
                <w:szCs w:val="24"/>
              </w:rPr>
              <w:t>I.</w:t>
            </w:r>
            <w:r w:rsidR="0080377C" w:rsidRPr="0080377C">
              <w:rPr>
                <w:rFonts w:eastAsiaTheme="minorEastAsia"/>
                <w:b w:val="0"/>
                <w:sz w:val="24"/>
                <w:szCs w:val="24"/>
                <w:lang w:eastAsia="es-MX"/>
              </w:rPr>
              <w:tab/>
            </w:r>
            <w:r w:rsidR="0080377C" w:rsidRPr="0080377C">
              <w:rPr>
                <w:rStyle w:val="Hipervnculo"/>
                <w:rFonts w:eastAsia="Times New Roman"/>
                <w:sz w:val="24"/>
                <w:szCs w:val="24"/>
              </w:rPr>
              <w:t>Consideraciones Generales</w:t>
            </w:r>
            <w:r w:rsidR="0080377C" w:rsidRPr="0080377C">
              <w:rPr>
                <w:webHidden/>
                <w:sz w:val="24"/>
                <w:szCs w:val="24"/>
              </w:rPr>
              <w:tab/>
            </w:r>
            <w:r w:rsidR="0080377C" w:rsidRPr="0080377C">
              <w:rPr>
                <w:webHidden/>
                <w:sz w:val="24"/>
                <w:szCs w:val="24"/>
              </w:rPr>
              <w:fldChar w:fldCharType="begin"/>
            </w:r>
            <w:r w:rsidR="0080377C" w:rsidRPr="0080377C">
              <w:rPr>
                <w:webHidden/>
                <w:sz w:val="24"/>
                <w:szCs w:val="24"/>
              </w:rPr>
              <w:instrText xml:space="preserve"> PAGEREF _Toc535585409 \h </w:instrText>
            </w:r>
            <w:r w:rsidR="0080377C" w:rsidRPr="0080377C">
              <w:rPr>
                <w:webHidden/>
                <w:sz w:val="24"/>
                <w:szCs w:val="24"/>
              </w:rPr>
            </w:r>
            <w:r w:rsidR="0080377C" w:rsidRPr="0080377C">
              <w:rPr>
                <w:webHidden/>
                <w:sz w:val="24"/>
                <w:szCs w:val="24"/>
              </w:rPr>
              <w:fldChar w:fldCharType="separate"/>
            </w:r>
            <w:r w:rsidR="00077E58">
              <w:rPr>
                <w:webHidden/>
                <w:sz w:val="24"/>
                <w:szCs w:val="24"/>
              </w:rPr>
              <w:t>1</w:t>
            </w:r>
            <w:r w:rsidR="0080377C" w:rsidRPr="0080377C">
              <w:rPr>
                <w:webHidden/>
                <w:sz w:val="24"/>
                <w:szCs w:val="24"/>
              </w:rPr>
              <w:fldChar w:fldCharType="end"/>
            </w:r>
          </w:hyperlink>
        </w:p>
        <w:p w:rsidR="0080377C" w:rsidRPr="0080377C" w:rsidRDefault="0080377C">
          <w:pPr>
            <w:pStyle w:val="TDC1"/>
            <w:rPr>
              <w:rFonts w:eastAsiaTheme="minorEastAsia"/>
              <w:b w:val="0"/>
              <w:sz w:val="24"/>
              <w:szCs w:val="24"/>
              <w:lang w:eastAsia="es-MX"/>
            </w:rPr>
          </w:pPr>
          <w:hyperlink w:anchor="_Toc535585410" w:history="1">
            <w:r w:rsidRPr="0080377C">
              <w:rPr>
                <w:rStyle w:val="Hipervnculo"/>
                <w:rFonts w:eastAsia="Calibri"/>
                <w:sz w:val="24"/>
                <w:szCs w:val="24"/>
                <w:lang w:val="es-ES"/>
              </w:rPr>
              <w:t>II.</w:t>
            </w:r>
            <w:r w:rsidRPr="0080377C">
              <w:rPr>
                <w:rFonts w:eastAsiaTheme="minorEastAsia"/>
                <w:b w:val="0"/>
                <w:sz w:val="24"/>
                <w:szCs w:val="24"/>
                <w:lang w:eastAsia="es-MX"/>
              </w:rPr>
              <w:tab/>
            </w:r>
            <w:r w:rsidRPr="0080377C">
              <w:rPr>
                <w:rStyle w:val="Hipervnculo"/>
                <w:rFonts w:eastAsia="Calibri"/>
                <w:sz w:val="24"/>
                <w:szCs w:val="24"/>
                <w:lang w:val="es-ES"/>
              </w:rPr>
              <w:t>De los requerimientos planteados en el recurso de revisión.</w:t>
            </w:r>
            <w:r w:rsidRPr="0080377C">
              <w:rPr>
                <w:webHidden/>
                <w:sz w:val="24"/>
                <w:szCs w:val="24"/>
              </w:rPr>
              <w:tab/>
            </w:r>
            <w:r w:rsidRPr="0080377C">
              <w:rPr>
                <w:webHidden/>
                <w:sz w:val="24"/>
                <w:szCs w:val="24"/>
              </w:rPr>
              <w:fldChar w:fldCharType="begin"/>
            </w:r>
            <w:r w:rsidRPr="0080377C">
              <w:rPr>
                <w:webHidden/>
                <w:sz w:val="24"/>
                <w:szCs w:val="24"/>
              </w:rPr>
              <w:instrText xml:space="preserve"> PAGEREF _Toc535585410 \h </w:instrText>
            </w:r>
            <w:r w:rsidRPr="0080377C">
              <w:rPr>
                <w:webHidden/>
                <w:sz w:val="24"/>
                <w:szCs w:val="24"/>
              </w:rPr>
            </w:r>
            <w:r w:rsidRPr="0080377C">
              <w:rPr>
                <w:webHidden/>
                <w:sz w:val="24"/>
                <w:szCs w:val="24"/>
              </w:rPr>
              <w:fldChar w:fldCharType="separate"/>
            </w:r>
            <w:r w:rsidR="00077E58">
              <w:rPr>
                <w:webHidden/>
                <w:sz w:val="24"/>
                <w:szCs w:val="24"/>
              </w:rPr>
              <w:t>2</w:t>
            </w:r>
            <w:r w:rsidRPr="0080377C">
              <w:rPr>
                <w:webHidden/>
                <w:sz w:val="24"/>
                <w:szCs w:val="24"/>
              </w:rPr>
              <w:fldChar w:fldCharType="end"/>
            </w:r>
          </w:hyperlink>
        </w:p>
        <w:p w:rsidR="0080377C" w:rsidRPr="0080377C" w:rsidRDefault="0080377C">
          <w:pPr>
            <w:pStyle w:val="TDC2"/>
            <w:rPr>
              <w:rFonts w:ascii="Palatino Linotype" w:eastAsiaTheme="minorEastAsia" w:hAnsi="Palatino Linotype"/>
              <w:noProof/>
              <w:sz w:val="24"/>
              <w:szCs w:val="24"/>
              <w:lang w:eastAsia="es-MX"/>
            </w:rPr>
          </w:pPr>
          <w:hyperlink w:anchor="_Toc535585411" w:history="1">
            <w:r w:rsidRPr="0080377C">
              <w:rPr>
                <w:rStyle w:val="Hipervnculo"/>
                <w:rFonts w:ascii="Palatino Linotype" w:hAnsi="Palatino Linotype"/>
                <w:b/>
                <w:noProof/>
                <w:sz w:val="24"/>
                <w:szCs w:val="24"/>
              </w:rPr>
              <w:t>III. Del Derecho de Acceso a la información pública y el deber de motivar.</w:t>
            </w:r>
            <w:r w:rsidRPr="0080377C">
              <w:rPr>
                <w:rFonts w:ascii="Palatino Linotype" w:hAnsi="Palatino Linotype"/>
                <w:noProof/>
                <w:webHidden/>
                <w:sz w:val="24"/>
                <w:szCs w:val="24"/>
              </w:rPr>
              <w:tab/>
            </w:r>
            <w:r w:rsidRPr="0080377C">
              <w:rPr>
                <w:rFonts w:ascii="Palatino Linotype" w:hAnsi="Palatino Linotype"/>
                <w:noProof/>
                <w:webHidden/>
                <w:sz w:val="24"/>
                <w:szCs w:val="24"/>
              </w:rPr>
              <w:fldChar w:fldCharType="begin"/>
            </w:r>
            <w:r w:rsidRPr="0080377C">
              <w:rPr>
                <w:rFonts w:ascii="Palatino Linotype" w:hAnsi="Palatino Linotype"/>
                <w:noProof/>
                <w:webHidden/>
                <w:sz w:val="24"/>
                <w:szCs w:val="24"/>
              </w:rPr>
              <w:instrText xml:space="preserve"> PAGEREF _Toc535585411 \h </w:instrText>
            </w:r>
            <w:r w:rsidRPr="0080377C">
              <w:rPr>
                <w:rFonts w:ascii="Palatino Linotype" w:hAnsi="Palatino Linotype"/>
                <w:noProof/>
                <w:webHidden/>
                <w:sz w:val="24"/>
                <w:szCs w:val="24"/>
              </w:rPr>
            </w:r>
            <w:r w:rsidRPr="0080377C">
              <w:rPr>
                <w:rFonts w:ascii="Palatino Linotype" w:hAnsi="Palatino Linotype"/>
                <w:noProof/>
                <w:webHidden/>
                <w:sz w:val="24"/>
                <w:szCs w:val="24"/>
              </w:rPr>
              <w:fldChar w:fldCharType="separate"/>
            </w:r>
            <w:r w:rsidR="00077E58">
              <w:rPr>
                <w:rFonts w:ascii="Palatino Linotype" w:hAnsi="Palatino Linotype"/>
                <w:noProof/>
                <w:webHidden/>
                <w:sz w:val="24"/>
                <w:szCs w:val="24"/>
              </w:rPr>
              <w:t>7</w:t>
            </w:r>
            <w:r w:rsidRPr="0080377C">
              <w:rPr>
                <w:rFonts w:ascii="Palatino Linotype" w:hAnsi="Palatino Linotype"/>
                <w:noProof/>
                <w:webHidden/>
                <w:sz w:val="24"/>
                <w:szCs w:val="24"/>
              </w:rPr>
              <w:fldChar w:fldCharType="end"/>
            </w:r>
          </w:hyperlink>
        </w:p>
        <w:p w:rsidR="0080377C" w:rsidRPr="0080377C" w:rsidRDefault="0080377C">
          <w:pPr>
            <w:pStyle w:val="TDC1"/>
            <w:rPr>
              <w:rFonts w:eastAsiaTheme="minorEastAsia"/>
              <w:b w:val="0"/>
              <w:sz w:val="24"/>
              <w:szCs w:val="24"/>
              <w:lang w:eastAsia="es-MX"/>
            </w:rPr>
          </w:pPr>
          <w:hyperlink w:anchor="_Toc535585412" w:history="1">
            <w:r w:rsidRPr="0080377C">
              <w:rPr>
                <w:rStyle w:val="Hipervnculo"/>
                <w:rFonts w:eastAsia="Calibri"/>
                <w:sz w:val="24"/>
                <w:szCs w:val="24"/>
              </w:rPr>
              <w:t>IV. Del Pronunciamiento simple</w:t>
            </w:r>
            <w:r w:rsidRPr="0080377C">
              <w:rPr>
                <w:webHidden/>
                <w:sz w:val="24"/>
                <w:szCs w:val="24"/>
              </w:rPr>
              <w:tab/>
            </w:r>
            <w:r w:rsidRPr="0080377C">
              <w:rPr>
                <w:webHidden/>
                <w:sz w:val="24"/>
                <w:szCs w:val="24"/>
              </w:rPr>
              <w:fldChar w:fldCharType="begin"/>
            </w:r>
            <w:r w:rsidRPr="0080377C">
              <w:rPr>
                <w:webHidden/>
                <w:sz w:val="24"/>
                <w:szCs w:val="24"/>
              </w:rPr>
              <w:instrText xml:space="preserve"> PAGEREF _Toc535585412 \h </w:instrText>
            </w:r>
            <w:r w:rsidRPr="0080377C">
              <w:rPr>
                <w:webHidden/>
                <w:sz w:val="24"/>
                <w:szCs w:val="24"/>
              </w:rPr>
            </w:r>
            <w:r w:rsidRPr="0080377C">
              <w:rPr>
                <w:webHidden/>
                <w:sz w:val="24"/>
                <w:szCs w:val="24"/>
              </w:rPr>
              <w:fldChar w:fldCharType="separate"/>
            </w:r>
            <w:r w:rsidR="00077E58">
              <w:rPr>
                <w:webHidden/>
                <w:sz w:val="24"/>
                <w:szCs w:val="24"/>
              </w:rPr>
              <w:t>12</w:t>
            </w:r>
            <w:r w:rsidRPr="0080377C">
              <w:rPr>
                <w:webHidden/>
                <w:sz w:val="24"/>
                <w:szCs w:val="24"/>
              </w:rPr>
              <w:fldChar w:fldCharType="end"/>
            </w:r>
          </w:hyperlink>
        </w:p>
        <w:p w:rsidR="0080377C" w:rsidRPr="0080377C" w:rsidRDefault="0080377C">
          <w:pPr>
            <w:pStyle w:val="TDC1"/>
            <w:rPr>
              <w:rFonts w:eastAsiaTheme="minorEastAsia"/>
              <w:b w:val="0"/>
              <w:sz w:val="24"/>
              <w:szCs w:val="24"/>
              <w:lang w:eastAsia="es-MX"/>
            </w:rPr>
          </w:pPr>
          <w:hyperlink w:anchor="_Toc535585413" w:history="1">
            <w:r w:rsidRPr="0080377C">
              <w:rPr>
                <w:rStyle w:val="Hipervnculo"/>
                <w:rFonts w:eastAsia="Calibri"/>
                <w:sz w:val="24"/>
                <w:szCs w:val="24"/>
              </w:rPr>
              <w:t>V. Conclusión.</w:t>
            </w:r>
            <w:r w:rsidRPr="0080377C">
              <w:rPr>
                <w:webHidden/>
                <w:sz w:val="24"/>
                <w:szCs w:val="24"/>
              </w:rPr>
              <w:tab/>
            </w:r>
            <w:r w:rsidRPr="0080377C">
              <w:rPr>
                <w:webHidden/>
                <w:sz w:val="24"/>
                <w:szCs w:val="24"/>
              </w:rPr>
              <w:fldChar w:fldCharType="begin"/>
            </w:r>
            <w:r w:rsidRPr="0080377C">
              <w:rPr>
                <w:webHidden/>
                <w:sz w:val="24"/>
                <w:szCs w:val="24"/>
              </w:rPr>
              <w:instrText xml:space="preserve"> PAGEREF _Toc535585413 \h </w:instrText>
            </w:r>
            <w:r w:rsidRPr="0080377C">
              <w:rPr>
                <w:webHidden/>
                <w:sz w:val="24"/>
                <w:szCs w:val="24"/>
              </w:rPr>
            </w:r>
            <w:r w:rsidRPr="0080377C">
              <w:rPr>
                <w:webHidden/>
                <w:sz w:val="24"/>
                <w:szCs w:val="24"/>
              </w:rPr>
              <w:fldChar w:fldCharType="separate"/>
            </w:r>
            <w:r w:rsidR="00077E58">
              <w:rPr>
                <w:webHidden/>
                <w:sz w:val="24"/>
                <w:szCs w:val="24"/>
              </w:rPr>
              <w:t>30</w:t>
            </w:r>
            <w:r w:rsidRPr="0080377C">
              <w:rPr>
                <w:webHidden/>
                <w:sz w:val="24"/>
                <w:szCs w:val="24"/>
              </w:rPr>
              <w:fldChar w:fldCharType="end"/>
            </w:r>
          </w:hyperlink>
        </w:p>
        <w:p w:rsidR="00E6179D" w:rsidRPr="00256E57" w:rsidRDefault="00E6179D" w:rsidP="00B73B30">
          <w:pPr>
            <w:spacing w:line="360" w:lineRule="auto"/>
            <w:rPr>
              <w:rFonts w:ascii="Palatino Linotype" w:hAnsi="Palatino Linotype"/>
              <w:b/>
              <w:sz w:val="24"/>
              <w:szCs w:val="24"/>
            </w:rPr>
          </w:pPr>
          <w:r w:rsidRPr="0080377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58540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D63E7">
        <w:rPr>
          <w:rFonts w:ascii="Palatino Linotype" w:eastAsia="Calibri" w:hAnsi="Palatino Linotype" w:cs="Arial"/>
          <w:sz w:val="24"/>
          <w:szCs w:val="24"/>
        </w:rPr>
        <w:t>Segunda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BD63E7">
        <w:rPr>
          <w:rFonts w:ascii="Palatino Linotype" w:eastAsia="Calibri" w:hAnsi="Palatino Linotype" w:cs="Arial"/>
          <w:sz w:val="24"/>
          <w:szCs w:val="24"/>
        </w:rPr>
        <w:t>dieciséis</w:t>
      </w:r>
      <w:r w:rsidRPr="00F44EAA">
        <w:rPr>
          <w:rFonts w:ascii="Palatino Linotype" w:eastAsia="Calibri" w:hAnsi="Palatino Linotype" w:cs="Arial"/>
          <w:sz w:val="24"/>
          <w:szCs w:val="24"/>
        </w:rPr>
        <w:t xml:space="preserve"> (</w:t>
      </w:r>
      <w:r w:rsidR="00BD63E7">
        <w:rPr>
          <w:rFonts w:ascii="Palatino Linotype" w:eastAsia="Calibri" w:hAnsi="Palatino Linotype" w:cs="Arial"/>
          <w:sz w:val="24"/>
          <w:szCs w:val="24"/>
        </w:rPr>
        <w:t>16</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lastRenderedPageBreak/>
        <w:t xml:space="preserve">recurso </w:t>
      </w:r>
      <w:r w:rsidRPr="00427B79">
        <w:rPr>
          <w:rFonts w:ascii="Palatino Linotype" w:eastAsia="Calibri" w:hAnsi="Palatino Linotype" w:cs="Arial"/>
          <w:sz w:val="24"/>
          <w:szCs w:val="24"/>
        </w:rPr>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350C4">
        <w:rPr>
          <w:rFonts w:ascii="Palatino Linotype" w:eastAsia="Calibri" w:hAnsi="Palatino Linotype" w:cs="Arial"/>
          <w:sz w:val="24"/>
          <w:szCs w:val="24"/>
        </w:rPr>
        <w:t xml:space="preserve"> </w:t>
      </w:r>
      <w:r w:rsidR="00E10CF1" w:rsidRPr="00E350C4">
        <w:rPr>
          <w:rFonts w:ascii="Palatino Linotype" w:eastAsia="Calibri" w:hAnsi="Palatino Linotype" w:cs="Arial"/>
          <w:b/>
          <w:sz w:val="24"/>
          <w:szCs w:val="24"/>
        </w:rPr>
        <w:t>l</w:t>
      </w:r>
      <w:r w:rsidR="00E350C4" w:rsidRPr="00E350C4">
        <w:rPr>
          <w:rFonts w:ascii="Palatino Linotype" w:hAnsi="Palatino Linotype"/>
          <w:b/>
          <w:sz w:val="24"/>
          <w:szCs w:val="24"/>
        </w:rPr>
        <w:t xml:space="preserve">a </w:t>
      </w:r>
      <w:r w:rsidR="00E350C4" w:rsidRPr="00E350C4">
        <w:rPr>
          <w:rFonts w:ascii="Palatino Linotype" w:hAnsi="Palatino Linotype"/>
          <w:b/>
          <w:sz w:val="24"/>
          <w:szCs w:val="24"/>
        </w:rPr>
        <w:t>Universidad Politécnica del Valle de Toluca</w:t>
      </w:r>
      <w:r w:rsidR="000921E9" w:rsidRPr="00E350C4">
        <w:rPr>
          <w:rFonts w:ascii="Palatino Linotype" w:hAnsi="Palatino Linotype" w:cs="Arial"/>
          <w:b/>
        </w:rPr>
        <w:t>,</w:t>
      </w:r>
      <w:r w:rsidR="000921E9" w:rsidRPr="00E350C4">
        <w:rPr>
          <w:rFonts w:ascii="Palatino Linotype" w:eastAsia="Calibri" w:hAnsi="Palatino Linotype" w:cs="Arial"/>
          <w:b/>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4132</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BD63E7">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5585410"/>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0921E9" w:rsidRPr="00386739" w:rsidRDefault="00E6179D" w:rsidP="00386739">
      <w:pPr>
        <w:spacing w:before="80" w:after="120" w:line="360" w:lineRule="auto"/>
        <w:ind w:left="709" w:right="709"/>
        <w:jc w:val="both"/>
        <w:rPr>
          <w:rFonts w:ascii="Palatino Linotype" w:hAnsi="Palatino Linotype"/>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E350C4">
        <w:rPr>
          <w:rFonts w:ascii="Palatino Linotype" w:eastAsia="Calibri" w:hAnsi="Palatino Linotype" w:cs="Times New Roman"/>
          <w:sz w:val="24"/>
          <w:szCs w:val="24"/>
        </w:rPr>
        <w:t xml:space="preserve"> </w:t>
      </w:r>
      <w:r w:rsidR="00E350C4" w:rsidRPr="00E350C4">
        <w:rPr>
          <w:rFonts w:ascii="Palatino Linotype" w:eastAsia="Calibri" w:hAnsi="Palatino Linotype" w:cs="Arial"/>
          <w:b/>
          <w:sz w:val="24"/>
          <w:szCs w:val="24"/>
        </w:rPr>
        <w:t>l</w:t>
      </w:r>
      <w:r w:rsidR="00E350C4" w:rsidRPr="00E350C4">
        <w:rPr>
          <w:rFonts w:ascii="Palatino Linotype" w:hAnsi="Palatino Linotype"/>
          <w:b/>
          <w:sz w:val="24"/>
          <w:szCs w:val="24"/>
        </w:rPr>
        <w:t>a Universidad Politécnica del Valle de Toluca</w:t>
      </w:r>
      <w:r w:rsidR="00436541" w:rsidRPr="00BD63E7">
        <w:rPr>
          <w:rFonts w:ascii="Palatino Linotype" w:hAnsi="Palatino Linotype" w:cs="Arial"/>
          <w:b/>
          <w:sz w:val="24"/>
          <w:szCs w:val="24"/>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BD63E7" w:rsidRPr="00BD63E7">
        <w:rPr>
          <w:rFonts w:ascii="Palatino Linotype" w:hAnsi="Palatino Linotype" w:cs="Arial"/>
          <w:i/>
        </w:rPr>
        <w:t xml:space="preserve"> </w:t>
      </w:r>
      <w:r w:rsidR="006A3003" w:rsidRPr="00FF0840">
        <w:rPr>
          <w:rFonts w:ascii="Palatino Linotype" w:hAnsi="Palatino Linotype" w:cs="Arial"/>
          <w:i/>
        </w:rPr>
        <w:t xml:space="preserve">“Constancias de actualización del personal que se encuentra en el directorio de la página institucional, y además de mostrar sus nombramientos, </w:t>
      </w:r>
      <w:r w:rsidR="006A3003" w:rsidRPr="00FF0840">
        <w:rPr>
          <w:rFonts w:ascii="Palatino Linotype" w:hAnsi="Palatino Linotype" w:cs="Arial"/>
          <w:i/>
        </w:rPr>
        <w:lastRenderedPageBreak/>
        <w:t xml:space="preserve">credenciales y asignación de vehículos, y equipos de cómputo, mobiliario y herramientas de trabajo asignadas desde que ocuparon el cargo, y así como sus declaraciones patrimoniales 2018” </w:t>
      </w:r>
      <w:r w:rsidR="006A3003" w:rsidRPr="00FF0840">
        <w:rPr>
          <w:rFonts w:ascii="Palatino Linotype" w:hAnsi="Palatino Linotype"/>
        </w:rPr>
        <w:t>(Sic).</w:t>
      </w:r>
    </w:p>
    <w:p w:rsidR="0016671B" w:rsidRPr="000921E9" w:rsidRDefault="0016671B" w:rsidP="0016671B">
      <w:pPr>
        <w:autoSpaceDE w:val="0"/>
        <w:autoSpaceDN w:val="0"/>
        <w:adjustRightInd w:val="0"/>
        <w:ind w:left="992" w:right="1043"/>
        <w:jc w:val="both"/>
        <w:rPr>
          <w:rFonts w:ascii="Palatino Linotype" w:eastAsia="Times New Roman" w:hAnsi="Palatino Linotype" w:cs="Arial"/>
          <w:i/>
          <w:lang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6A3003">
        <w:rPr>
          <w:rFonts w:ascii="Palatino Linotype" w:eastAsia="Calibri" w:hAnsi="Palatino Linotype" w:cs="Arial"/>
          <w:sz w:val="24"/>
          <w:szCs w:val="24"/>
        </w:rPr>
        <w:t xml:space="preserve"> </w:t>
      </w:r>
      <w:r w:rsidR="006A3003" w:rsidRPr="00E350C4">
        <w:rPr>
          <w:rFonts w:ascii="Palatino Linotype" w:eastAsia="Calibri" w:hAnsi="Palatino Linotype" w:cs="Arial"/>
          <w:b/>
          <w:sz w:val="24"/>
          <w:szCs w:val="24"/>
        </w:rPr>
        <w:t>l</w:t>
      </w:r>
      <w:r w:rsidR="006A3003" w:rsidRPr="00E350C4">
        <w:rPr>
          <w:rFonts w:ascii="Palatino Linotype" w:hAnsi="Palatino Linotype"/>
          <w:b/>
          <w:sz w:val="24"/>
          <w:szCs w:val="24"/>
        </w:rPr>
        <w:t>a Universidad Politécnica del Valle de Toluca</w:t>
      </w:r>
      <w:r w:rsidR="006A3003" w:rsidRPr="00BD63E7">
        <w:rPr>
          <w:rFonts w:ascii="Palatino Linotype" w:hAnsi="Palatino Linotype" w:cs="Arial"/>
          <w:b/>
          <w:sz w:val="24"/>
          <w:szCs w:val="24"/>
        </w:rPr>
        <w:t>,</w:t>
      </w:r>
      <w:r w:rsidR="006A3003" w:rsidRPr="00F44EAA">
        <w:rPr>
          <w:rFonts w:ascii="Palatino Linotype" w:hAnsi="Palatino Linotype" w:cs="Arial"/>
        </w:rPr>
        <w:t xml:space="preserve"> </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F44EA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w:t>
      </w:r>
      <w:r w:rsidR="006A3003">
        <w:rPr>
          <w:rFonts w:ascii="Palatino Linotype" w:hAnsi="Palatino Linotype" w:cs="Arial"/>
          <w:b/>
          <w:sz w:val="24"/>
          <w:szCs w:val="24"/>
        </w:rPr>
        <w:t xml:space="preserve"> </w:t>
      </w:r>
      <w:r w:rsidR="006A3003" w:rsidRPr="00E350C4">
        <w:rPr>
          <w:rFonts w:ascii="Palatino Linotype" w:eastAsia="Calibri" w:hAnsi="Palatino Linotype" w:cs="Arial"/>
          <w:b/>
          <w:sz w:val="24"/>
          <w:szCs w:val="24"/>
        </w:rPr>
        <w:t>l</w:t>
      </w:r>
      <w:r w:rsidR="006A3003" w:rsidRPr="00E350C4">
        <w:rPr>
          <w:rFonts w:ascii="Palatino Linotype" w:hAnsi="Palatino Linotype"/>
          <w:b/>
          <w:sz w:val="24"/>
          <w:szCs w:val="24"/>
        </w:rPr>
        <w:t>a Universidad Politécnica del Valle de Toluca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bCs/>
          <w:i/>
        </w:rPr>
        <w:t>“</w:t>
      </w:r>
      <w:r w:rsidRPr="007910FD">
        <w:rPr>
          <w:rFonts w:ascii="Palatino Linotype" w:hAnsi="Palatino Linotype" w:cs="Arial"/>
          <w:i/>
          <w:lang w:eastAsia="es-MX"/>
        </w:rPr>
        <w:t>a)</w:t>
      </w:r>
      <w:r w:rsidRPr="007910FD">
        <w:rPr>
          <w:rFonts w:ascii="Palatino Linotype" w:hAnsi="Palatino Linotype" w:cs="Arial"/>
          <w:i/>
          <w:lang w:eastAsia="es-MX"/>
        </w:rPr>
        <w:tab/>
        <w:t>Respecto de la Rectora y la Directora de la División de Ingeniería Industrial y Sistemas:</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i.</w:t>
      </w:r>
      <w:r w:rsidRPr="007910FD">
        <w:rPr>
          <w:rFonts w:ascii="Palatino Linotype" w:hAnsi="Palatino Linotype" w:cs="Arial"/>
          <w:i/>
          <w:lang w:eastAsia="es-MX"/>
        </w:rPr>
        <w:tab/>
        <w:t>Los Certificados de Estudios de Maestría y Doctorado;</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ii.</w:t>
      </w:r>
      <w:r w:rsidRPr="007910FD">
        <w:rPr>
          <w:rFonts w:ascii="Palatino Linotype" w:hAnsi="Palatino Linotype" w:cs="Arial"/>
          <w:i/>
          <w:lang w:eastAsia="es-MX"/>
        </w:rPr>
        <w:tab/>
        <w:t>Los documentos de obtención de los Grados de Maestría y Doctorado, y</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iii.</w:t>
      </w:r>
      <w:r w:rsidRPr="007910FD">
        <w:rPr>
          <w:rFonts w:ascii="Palatino Linotype" w:hAnsi="Palatino Linotype" w:cs="Arial"/>
          <w:i/>
          <w:lang w:eastAsia="es-MX"/>
        </w:rPr>
        <w:tab/>
        <w:t>Las Cédulas Profesionales de los niveles de Licenciatura, Maestría y Doctorado.</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lastRenderedPageBreak/>
        <w:t xml:space="preserve">Lo anterior, en caso de que los hayan presentado de manera opcional, ante el Departamento de Recursos Humanos y Materiales. En caso contrario bastará con hacerlo del conocimiento de </w:t>
      </w:r>
      <w:r w:rsidRPr="007910FD">
        <w:rPr>
          <w:rFonts w:ascii="Palatino Linotype" w:hAnsi="Palatino Linotype" w:cs="Arial"/>
          <w:b/>
          <w:i/>
          <w:lang w:eastAsia="es-MX"/>
        </w:rPr>
        <w:t>LA RECURRENTE</w:t>
      </w:r>
      <w:r w:rsidRPr="007910FD">
        <w:rPr>
          <w:rFonts w:ascii="Palatino Linotype" w:hAnsi="Palatino Linotype" w:cs="Arial"/>
          <w:i/>
          <w:lang w:eastAsia="es-MX"/>
        </w:rPr>
        <w:t>.</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b)</w:t>
      </w:r>
      <w:r w:rsidRPr="007910FD">
        <w:rPr>
          <w:rFonts w:ascii="Palatino Linotype" w:hAnsi="Palatino Linotype" w:cs="Arial"/>
          <w:i/>
          <w:lang w:eastAsia="es-MX"/>
        </w:rPr>
        <w:tab/>
        <w:t xml:space="preserve">Respecto de la Directora de la División de Ingeniería </w:t>
      </w:r>
      <w:proofErr w:type="spellStart"/>
      <w:r w:rsidRPr="007910FD">
        <w:rPr>
          <w:rFonts w:ascii="Palatino Linotype" w:hAnsi="Palatino Linotype" w:cs="Arial"/>
          <w:i/>
          <w:lang w:eastAsia="es-MX"/>
        </w:rPr>
        <w:t>Mecatrónica</w:t>
      </w:r>
      <w:proofErr w:type="spellEnd"/>
      <w:r w:rsidRPr="007910FD">
        <w:rPr>
          <w:rFonts w:ascii="Palatino Linotype" w:hAnsi="Palatino Linotype" w:cs="Arial"/>
          <w:i/>
          <w:lang w:eastAsia="es-MX"/>
        </w:rPr>
        <w:t>, el Director de la División de Ingeniería en Biotecnología y Licenciatura en Negocios Internacionales, la Jefa del Departamento de Recursos Humanos y la Directora de la División de Ingeniería Informática:</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i.</w:t>
      </w:r>
      <w:r w:rsidRPr="007910FD">
        <w:rPr>
          <w:rFonts w:ascii="Palatino Linotype" w:hAnsi="Palatino Linotype" w:cs="Arial"/>
          <w:i/>
          <w:lang w:eastAsia="es-MX"/>
        </w:rPr>
        <w:tab/>
        <w:t>El Certificado de Estudios de Maestría;</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ii.</w:t>
      </w:r>
      <w:r w:rsidRPr="007910FD">
        <w:rPr>
          <w:rFonts w:ascii="Palatino Linotype" w:hAnsi="Palatino Linotype" w:cs="Arial"/>
          <w:i/>
          <w:lang w:eastAsia="es-MX"/>
        </w:rPr>
        <w:tab/>
        <w:t>El documento de obtención del Grado de Maestría y</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iii.</w:t>
      </w:r>
      <w:r w:rsidRPr="007910FD">
        <w:rPr>
          <w:rFonts w:ascii="Palatino Linotype" w:hAnsi="Palatino Linotype" w:cs="Arial"/>
          <w:i/>
          <w:lang w:eastAsia="es-MX"/>
        </w:rPr>
        <w:tab/>
        <w:t>La Cédula Profesional de los niveles de Licenciatura y Maestría.</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 xml:space="preserve">Lo anterior, en caso de que se trate de Profesores de Tiempo Completo o los hayan presentado de manera opcional, ante el Departamento de Recursos Humanos y Materiales. En caso contrario, bastará con hacerlo del conocimiento de </w:t>
      </w:r>
      <w:r w:rsidRPr="007910FD">
        <w:rPr>
          <w:rFonts w:ascii="Palatino Linotype" w:hAnsi="Palatino Linotype" w:cs="Arial"/>
          <w:b/>
          <w:i/>
          <w:lang w:eastAsia="es-MX"/>
        </w:rPr>
        <w:t>LA RECURRENTE</w:t>
      </w:r>
      <w:r w:rsidRPr="007910FD">
        <w:rPr>
          <w:rFonts w:ascii="Palatino Linotype" w:hAnsi="Palatino Linotype" w:cs="Arial"/>
          <w:i/>
          <w:lang w:eastAsia="es-MX"/>
        </w:rPr>
        <w:t>.</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c)</w:t>
      </w:r>
      <w:r w:rsidRPr="007910FD">
        <w:rPr>
          <w:rFonts w:ascii="Palatino Linotype" w:hAnsi="Palatino Linotype" w:cs="Arial"/>
          <w:i/>
          <w:lang w:eastAsia="es-MX"/>
        </w:rPr>
        <w:tab/>
        <w:t>Respecto de la Jefa del Departamento de Información, Planeación, Programación y Evaluación, el Contralor Interno, el Jefe del Departamento de Tecnologías de la Información, el Director de Administración y Finanzas, el Jefe del Departamento de Control Escolar, el Director de Planeación y Vinculación y la Subdirectora de Servicios Escolares:</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i.</w:t>
      </w:r>
      <w:r w:rsidRPr="007910FD">
        <w:rPr>
          <w:rFonts w:ascii="Palatino Linotype" w:hAnsi="Palatino Linotype" w:cs="Arial"/>
          <w:i/>
          <w:lang w:eastAsia="es-MX"/>
        </w:rPr>
        <w:tab/>
        <w:t>La Cédula Profesional de nivel Licenciatura;</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cs="Arial"/>
          <w:i/>
          <w:lang w:eastAsia="es-MX"/>
        </w:rPr>
        <w:t xml:space="preserve">Lo anterior, en caso de que la haya presentado de manera opcional, ante el Departamento de Recursos Humanos y Materiales. En caso contrario bastará con hacerlo del conocimiento de </w:t>
      </w:r>
      <w:r w:rsidRPr="007910FD">
        <w:rPr>
          <w:rFonts w:ascii="Palatino Linotype" w:hAnsi="Palatino Linotype" w:cs="Arial"/>
          <w:b/>
          <w:i/>
          <w:lang w:eastAsia="es-MX"/>
        </w:rPr>
        <w:t>LA RECURRENTE</w:t>
      </w:r>
      <w:r w:rsidRPr="007910FD">
        <w:rPr>
          <w:rFonts w:ascii="Palatino Linotype" w:hAnsi="Palatino Linotype" w:cs="Arial"/>
          <w:i/>
          <w:lang w:eastAsia="es-MX"/>
        </w:rPr>
        <w:t>.</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r w:rsidRPr="007910FD">
        <w:rPr>
          <w:rFonts w:ascii="Palatino Linotype" w:hAnsi="Palatino Linotype"/>
          <w:bCs/>
          <w:i/>
        </w:rPr>
        <w:lastRenderedPageBreak/>
        <w:t xml:space="preserve">Debiendo notificar a </w:t>
      </w:r>
      <w:r w:rsidRPr="007910FD">
        <w:rPr>
          <w:rFonts w:ascii="Palatino Linotype" w:hAnsi="Palatino Linotype"/>
          <w:b/>
          <w:bCs/>
          <w:i/>
        </w:rPr>
        <w:t>LA</w:t>
      </w:r>
      <w:r w:rsidRPr="007910FD">
        <w:rPr>
          <w:rFonts w:ascii="Palatino Linotype" w:hAnsi="Palatino Linotype"/>
          <w:bCs/>
          <w:i/>
        </w:rPr>
        <w:t xml:space="preserve"> </w:t>
      </w:r>
      <w:r w:rsidRPr="007910FD">
        <w:rPr>
          <w:rFonts w:ascii="Palatino Linotype" w:hAnsi="Palatino Linotype"/>
          <w:b/>
          <w:bCs/>
          <w:i/>
        </w:rPr>
        <w:t>RECURRENTE</w:t>
      </w:r>
      <w:r w:rsidRPr="007910FD">
        <w:rPr>
          <w:rFonts w:ascii="Palatino Linotype" w:hAnsi="Palatino Linotype"/>
          <w:bCs/>
          <w:i/>
        </w:rPr>
        <w:t xml:space="preserve"> el Acuerdo de Clasificación de la información que emita el Comité de Transparencia con motivo de las versiones públicas.</w:t>
      </w:r>
    </w:p>
    <w:p w:rsidR="007910FD" w:rsidRDefault="007910FD" w:rsidP="007910FD">
      <w:pPr>
        <w:pStyle w:val="Prrafodelista"/>
        <w:spacing w:before="160" w:line="360" w:lineRule="auto"/>
        <w:ind w:left="360" w:right="709"/>
        <w:jc w:val="both"/>
        <w:rPr>
          <w:rFonts w:ascii="Palatino Linotype" w:hAnsi="Palatino Linotype"/>
          <w:i/>
        </w:rPr>
      </w:pPr>
      <w:r w:rsidRPr="007910FD">
        <w:rPr>
          <w:rFonts w:ascii="Palatino Linotype" w:hAnsi="Palatino Linotype" w:cs="Arial"/>
          <w:i/>
          <w:lang w:eastAsia="es-MX"/>
        </w:rPr>
        <w:t>d)</w:t>
      </w:r>
      <w:r w:rsidRPr="007910FD">
        <w:rPr>
          <w:rFonts w:ascii="Palatino Linotype" w:hAnsi="Palatino Linotype" w:cs="Arial"/>
          <w:i/>
          <w:lang w:eastAsia="es-MX"/>
        </w:rPr>
        <w:tab/>
      </w:r>
      <w:r w:rsidRPr="007910FD">
        <w:rPr>
          <w:rFonts w:ascii="Palatino Linotype" w:hAnsi="Palatino Linotype"/>
          <w:bCs/>
          <w:i/>
        </w:rPr>
        <w:t xml:space="preserve">El Acuerdo que emita el Comité de Transparencia mediante el que confirme la declaratoria de incompetencia del </w:t>
      </w:r>
      <w:r w:rsidRPr="007910FD">
        <w:rPr>
          <w:rFonts w:ascii="Palatino Linotype" w:hAnsi="Palatino Linotype"/>
          <w:b/>
          <w:bCs/>
          <w:i/>
        </w:rPr>
        <w:t>SUJETO OBLIGADO</w:t>
      </w:r>
      <w:r w:rsidRPr="007910FD">
        <w:rPr>
          <w:rFonts w:ascii="Palatino Linotype" w:hAnsi="Palatino Linotype"/>
          <w:bCs/>
          <w:i/>
        </w:rPr>
        <w:t xml:space="preserve"> respecto de las Declaraciones Patrimoniales 2018 de los servidores públicos referidos en la solicitud.</w:t>
      </w:r>
      <w:r w:rsidRPr="007910FD">
        <w:rPr>
          <w:rFonts w:ascii="Palatino Linotype" w:hAnsi="Palatino Linotype"/>
          <w:i/>
        </w:rPr>
        <w:t>”</w:t>
      </w:r>
    </w:p>
    <w:p w:rsidR="007910FD" w:rsidRPr="007910FD" w:rsidRDefault="007910FD" w:rsidP="007910FD">
      <w:pPr>
        <w:pStyle w:val="Prrafodelista"/>
        <w:spacing w:before="160" w:line="360" w:lineRule="auto"/>
        <w:ind w:left="360" w:right="709"/>
        <w:jc w:val="both"/>
        <w:rPr>
          <w:rFonts w:ascii="Palatino Linotype" w:hAnsi="Palatino Linotype" w:cs="Arial"/>
          <w:i/>
          <w:lang w:eastAsia="es-MX"/>
        </w:rPr>
      </w:pPr>
    </w:p>
    <w:p w:rsidR="00964E10" w:rsidRPr="007910FD"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BD63E7">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BD63E7">
        <w:rPr>
          <w:rFonts w:ascii="Palatino Linotype" w:eastAsia="Times New Roman" w:hAnsi="Palatino Linotype" w:cs="Arial"/>
          <w:sz w:val="24"/>
        </w:rPr>
        <w:t xml:space="preserve">os </w:t>
      </w:r>
      <w:r w:rsidR="001A3506">
        <w:rPr>
          <w:rFonts w:ascii="Palatino Linotype" w:eastAsia="Times New Roman" w:hAnsi="Palatino Linotype" w:cs="Arial"/>
          <w:sz w:val="24"/>
        </w:rPr>
        <w:t xml:space="preserve"> </w:t>
      </w:r>
      <w:r w:rsidR="00BD63E7">
        <w:rPr>
          <w:rFonts w:ascii="Palatino Linotype" w:eastAsia="Times New Roman" w:hAnsi="Palatino Linotype" w:cs="Arial"/>
          <w:sz w:val="24"/>
        </w:rPr>
        <w:t xml:space="preserve">incisos </w:t>
      </w:r>
      <w:r w:rsidR="007910FD">
        <w:rPr>
          <w:rFonts w:ascii="Palatino Linotype" w:eastAsia="Times New Roman" w:hAnsi="Palatino Linotype" w:cs="Arial"/>
          <w:sz w:val="24"/>
        </w:rPr>
        <w:t>a) b</w:t>
      </w:r>
      <w:r w:rsidR="00BD63E7">
        <w:rPr>
          <w:rFonts w:ascii="Palatino Linotype" w:eastAsia="Times New Roman" w:hAnsi="Palatino Linotype" w:cs="Arial"/>
          <w:sz w:val="24"/>
        </w:rPr>
        <w:t>)</w:t>
      </w:r>
      <w:r w:rsidR="007910FD">
        <w:rPr>
          <w:rFonts w:ascii="Palatino Linotype" w:eastAsia="Times New Roman" w:hAnsi="Palatino Linotype" w:cs="Arial"/>
          <w:sz w:val="24"/>
        </w:rPr>
        <w:t xml:space="preserve"> y c)</w:t>
      </w:r>
      <w:r w:rsidR="0041189B">
        <w:rPr>
          <w:rFonts w:ascii="Palatino Linotype" w:eastAsia="Times New Roman" w:hAnsi="Palatino Linotype" w:cs="Arial"/>
          <w:sz w:val="24"/>
        </w:rPr>
        <w:t>:</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“a)</w:t>
      </w:r>
      <w:r w:rsidRPr="007910FD">
        <w:rPr>
          <w:rFonts w:ascii="Palatino Linotype" w:eastAsia="Times New Roman" w:hAnsi="Palatino Linotype" w:cs="Arial"/>
          <w:i/>
          <w:sz w:val="24"/>
        </w:rPr>
        <w:tab/>
        <w:t>Respecto de la Rectora y la Directora de la División de Ingeniería Industrial y Sistemas:</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i.</w:t>
      </w:r>
      <w:r w:rsidRPr="007910FD">
        <w:rPr>
          <w:rFonts w:ascii="Palatino Linotype" w:eastAsia="Times New Roman" w:hAnsi="Palatino Linotype" w:cs="Arial"/>
          <w:i/>
          <w:sz w:val="24"/>
        </w:rPr>
        <w:tab/>
        <w:t>Los Certificados de Estudios de Maestría y Doctorado;</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ii.</w:t>
      </w:r>
      <w:r w:rsidRPr="007910FD">
        <w:rPr>
          <w:rFonts w:ascii="Palatino Linotype" w:eastAsia="Times New Roman" w:hAnsi="Palatino Linotype" w:cs="Arial"/>
          <w:i/>
          <w:sz w:val="24"/>
        </w:rPr>
        <w:tab/>
        <w:t>Los documentos de obtención de los Grados de Maestría y Doctorado, y</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iii.</w:t>
      </w:r>
      <w:r w:rsidRPr="007910FD">
        <w:rPr>
          <w:rFonts w:ascii="Palatino Linotype" w:eastAsia="Times New Roman" w:hAnsi="Palatino Linotype" w:cs="Arial"/>
          <w:i/>
          <w:sz w:val="24"/>
        </w:rPr>
        <w:tab/>
        <w:t>Las Cédulas Profesionales de los niveles de Licenciatura, Maestría y Doctorado.</w:t>
      </w:r>
    </w:p>
    <w:p w:rsid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 xml:space="preserve">Lo anterior, en caso de que los hayan presentado de manera opcional, ante el Departamento de Recursos Humanos y Materiales. En caso contrario bastará con hacerlo del conocimiento de </w:t>
      </w:r>
      <w:r w:rsidRPr="00386739">
        <w:rPr>
          <w:rFonts w:ascii="Palatino Linotype" w:eastAsia="Times New Roman" w:hAnsi="Palatino Linotype" w:cs="Arial"/>
          <w:b/>
          <w:i/>
          <w:sz w:val="24"/>
        </w:rPr>
        <w:t>LA RECURRENTE.</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b)</w:t>
      </w:r>
      <w:r w:rsidRPr="007910FD">
        <w:rPr>
          <w:rFonts w:ascii="Palatino Linotype" w:eastAsia="Times New Roman" w:hAnsi="Palatino Linotype" w:cs="Arial"/>
          <w:i/>
          <w:sz w:val="24"/>
        </w:rPr>
        <w:tab/>
        <w:t xml:space="preserve">Respecto de la Directora de la División de Ingeniería </w:t>
      </w:r>
      <w:proofErr w:type="spellStart"/>
      <w:r w:rsidRPr="007910FD">
        <w:rPr>
          <w:rFonts w:ascii="Palatino Linotype" w:eastAsia="Times New Roman" w:hAnsi="Palatino Linotype" w:cs="Arial"/>
          <w:i/>
          <w:sz w:val="24"/>
        </w:rPr>
        <w:t>Mecatrónica</w:t>
      </w:r>
      <w:proofErr w:type="spellEnd"/>
      <w:r w:rsidRPr="007910FD">
        <w:rPr>
          <w:rFonts w:ascii="Palatino Linotype" w:eastAsia="Times New Roman" w:hAnsi="Palatino Linotype" w:cs="Arial"/>
          <w:i/>
          <w:sz w:val="24"/>
        </w:rPr>
        <w:t>, el Director de la División de Ingeniería en Biotecnología y Licenciatura en Negocios Internacionales, la Jefa del Departamento de Recursos Humanos y la Directora de la División de Ingeniería Informática:</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i.</w:t>
      </w:r>
      <w:r w:rsidRPr="007910FD">
        <w:rPr>
          <w:rFonts w:ascii="Palatino Linotype" w:eastAsia="Times New Roman" w:hAnsi="Palatino Linotype" w:cs="Arial"/>
          <w:i/>
          <w:sz w:val="24"/>
        </w:rPr>
        <w:tab/>
        <w:t>El Certificado de Estudios de Maestría;</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lastRenderedPageBreak/>
        <w:t>ii.</w:t>
      </w:r>
      <w:r w:rsidRPr="007910FD">
        <w:rPr>
          <w:rFonts w:ascii="Palatino Linotype" w:eastAsia="Times New Roman" w:hAnsi="Palatino Linotype" w:cs="Arial"/>
          <w:i/>
          <w:sz w:val="24"/>
        </w:rPr>
        <w:tab/>
        <w:t>El documento de obtención del Grado de Maestría y</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iii.</w:t>
      </w:r>
      <w:r w:rsidRPr="007910FD">
        <w:rPr>
          <w:rFonts w:ascii="Palatino Linotype" w:eastAsia="Times New Roman" w:hAnsi="Palatino Linotype" w:cs="Arial"/>
          <w:i/>
          <w:sz w:val="24"/>
        </w:rPr>
        <w:tab/>
        <w:t>La Cédula Profesional de los niveles de Licenciatura y Maestría.</w:t>
      </w:r>
    </w:p>
    <w:p w:rsidR="007910FD" w:rsidRPr="00386739" w:rsidRDefault="007910FD" w:rsidP="007910FD">
      <w:pPr>
        <w:pStyle w:val="Prrafodelista"/>
        <w:spacing w:before="240" w:after="240" w:line="360" w:lineRule="auto"/>
        <w:ind w:right="49"/>
        <w:jc w:val="both"/>
        <w:rPr>
          <w:rFonts w:ascii="Palatino Linotype" w:eastAsia="Times New Roman" w:hAnsi="Palatino Linotype" w:cs="Arial"/>
          <w:b/>
          <w:i/>
          <w:sz w:val="24"/>
        </w:rPr>
      </w:pPr>
      <w:r w:rsidRPr="007910FD">
        <w:rPr>
          <w:rFonts w:ascii="Palatino Linotype" w:eastAsia="Times New Roman" w:hAnsi="Palatino Linotype" w:cs="Arial"/>
          <w:i/>
          <w:sz w:val="24"/>
        </w:rPr>
        <w:t xml:space="preserve">Lo anterior, en caso de que se trate de Profesores de Tiempo Completo o los hayan presentado de manera opcional, ante el Departamento de Recursos Humanos y Materiales. En caso contrario, bastará con hacerlo del conocimiento de </w:t>
      </w:r>
      <w:r w:rsidRPr="00386739">
        <w:rPr>
          <w:rFonts w:ascii="Palatino Linotype" w:eastAsia="Times New Roman" w:hAnsi="Palatino Linotype" w:cs="Arial"/>
          <w:b/>
          <w:i/>
          <w:sz w:val="24"/>
        </w:rPr>
        <w:t>LA RECURRENTE.</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c)</w:t>
      </w:r>
      <w:r w:rsidRPr="007910FD">
        <w:rPr>
          <w:rFonts w:ascii="Palatino Linotype" w:eastAsia="Times New Roman" w:hAnsi="Palatino Linotype" w:cs="Arial"/>
          <w:i/>
          <w:sz w:val="24"/>
        </w:rPr>
        <w:tab/>
        <w:t>Respecto de la Jefa del Departamento de Información, Planeación, Programación y Evaluación, el Contralor Interno, el Jefe del Departamento de Tecnologías de la Información, el Director de Administración y Finanzas, el Jefe del Departamento de Control Escolar, el Director de Planeación y Vinculación y la Subdirectora de Servicios Escolares:</w:t>
      </w:r>
    </w:p>
    <w:p w:rsidR="007910FD" w:rsidRPr="007910FD" w:rsidRDefault="007910FD" w:rsidP="007910FD">
      <w:pPr>
        <w:pStyle w:val="Prrafodelista"/>
        <w:spacing w:before="240" w:after="240" w:line="360" w:lineRule="auto"/>
        <w:ind w:right="49"/>
        <w:jc w:val="both"/>
        <w:rPr>
          <w:rFonts w:ascii="Palatino Linotype" w:eastAsia="Times New Roman" w:hAnsi="Palatino Linotype" w:cs="Arial"/>
          <w:i/>
          <w:sz w:val="24"/>
        </w:rPr>
      </w:pPr>
      <w:r w:rsidRPr="007910FD">
        <w:rPr>
          <w:rFonts w:ascii="Palatino Linotype" w:eastAsia="Times New Roman" w:hAnsi="Palatino Linotype" w:cs="Arial"/>
          <w:i/>
          <w:sz w:val="24"/>
        </w:rPr>
        <w:t>i.</w:t>
      </w:r>
      <w:r w:rsidRPr="007910FD">
        <w:rPr>
          <w:rFonts w:ascii="Palatino Linotype" w:eastAsia="Times New Roman" w:hAnsi="Palatino Linotype" w:cs="Arial"/>
          <w:i/>
          <w:sz w:val="24"/>
        </w:rPr>
        <w:tab/>
        <w:t>La Cédula Profesional de nivel Licenciatura;</w:t>
      </w:r>
    </w:p>
    <w:p w:rsidR="007910FD" w:rsidRDefault="007910FD" w:rsidP="00754249">
      <w:pPr>
        <w:pStyle w:val="Prrafodelista"/>
        <w:spacing w:before="240" w:after="240" w:line="360" w:lineRule="auto"/>
        <w:ind w:left="709" w:right="49"/>
        <w:jc w:val="both"/>
        <w:rPr>
          <w:rFonts w:ascii="Palatino Linotype" w:eastAsia="Times New Roman" w:hAnsi="Palatino Linotype" w:cs="Arial"/>
          <w:i/>
          <w:sz w:val="24"/>
        </w:rPr>
      </w:pPr>
      <w:r w:rsidRPr="007910FD">
        <w:rPr>
          <w:rFonts w:ascii="Palatino Linotype" w:eastAsia="Times New Roman" w:hAnsi="Palatino Linotype" w:cs="Arial"/>
          <w:i/>
          <w:sz w:val="24"/>
        </w:rPr>
        <w:t xml:space="preserve">Lo anterior, en caso de que la haya presentado de manera opcional, ante el Departamento de Recursos Humanos y Materiales. En caso contrario bastará con hacerlo del conocimiento de </w:t>
      </w:r>
      <w:r w:rsidRPr="00386739">
        <w:rPr>
          <w:rFonts w:ascii="Palatino Linotype" w:eastAsia="Times New Roman" w:hAnsi="Palatino Linotype" w:cs="Arial"/>
          <w:b/>
          <w:i/>
          <w:sz w:val="24"/>
        </w:rPr>
        <w:t>LA RECURRENTE.</w:t>
      </w:r>
      <w:bookmarkStart w:id="2" w:name="_GoBack"/>
      <w:bookmarkEnd w:id="2"/>
    </w:p>
    <w:p w:rsidR="00754249" w:rsidRPr="000921E9" w:rsidRDefault="00754249" w:rsidP="00754249">
      <w:pPr>
        <w:pStyle w:val="Prrafodelista"/>
        <w:spacing w:before="240" w:after="240" w:line="360" w:lineRule="auto"/>
        <w:ind w:left="709" w:right="49"/>
        <w:jc w:val="both"/>
        <w:rPr>
          <w:rFonts w:ascii="Palatino Linotype" w:eastAsia="Times New Roman" w:hAnsi="Palatino Linotype" w:cs="Arial"/>
          <w:i/>
          <w:sz w:val="24"/>
        </w:rPr>
      </w:pPr>
    </w:p>
    <w:p w:rsidR="00C602B8" w:rsidRPr="00C602B8"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558541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558541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0921E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6" w:name="_Toc53558541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5D0248" w:rsidRPr="00427B79" w:rsidRDefault="005D0248"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7E58">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7E58">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77E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77E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77E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4"/>
  </w:num>
  <w:num w:numId="4">
    <w:abstractNumId w:val="28"/>
  </w:num>
  <w:num w:numId="5">
    <w:abstractNumId w:val="1"/>
  </w:num>
  <w:num w:numId="6">
    <w:abstractNumId w:val="2"/>
  </w:num>
  <w:num w:numId="7">
    <w:abstractNumId w:val="13"/>
  </w:num>
  <w:num w:numId="8">
    <w:abstractNumId w:val="16"/>
  </w:num>
  <w:num w:numId="9">
    <w:abstractNumId w:val="24"/>
  </w:num>
  <w:num w:numId="10">
    <w:abstractNumId w:val="14"/>
  </w:num>
  <w:num w:numId="11">
    <w:abstractNumId w:val="19"/>
  </w:num>
  <w:num w:numId="12">
    <w:abstractNumId w:val="8"/>
  </w:num>
  <w:num w:numId="13">
    <w:abstractNumId w:val="30"/>
  </w:num>
  <w:num w:numId="14">
    <w:abstractNumId w:val="29"/>
  </w:num>
  <w:num w:numId="15">
    <w:abstractNumId w:val="3"/>
  </w:num>
  <w:num w:numId="16">
    <w:abstractNumId w:val="12"/>
  </w:num>
  <w:num w:numId="17">
    <w:abstractNumId w:val="7"/>
  </w:num>
  <w:num w:numId="18">
    <w:abstractNumId w:val="9"/>
  </w:num>
  <w:num w:numId="19">
    <w:abstractNumId w:val="18"/>
  </w:num>
  <w:num w:numId="20">
    <w:abstractNumId w:val="6"/>
  </w:num>
  <w:num w:numId="21">
    <w:abstractNumId w:val="11"/>
  </w:num>
  <w:num w:numId="22">
    <w:abstractNumId w:val="26"/>
  </w:num>
  <w:num w:numId="23">
    <w:abstractNumId w:val="17"/>
  </w:num>
  <w:num w:numId="24">
    <w:abstractNumId w:val="5"/>
  </w:num>
  <w:num w:numId="25">
    <w:abstractNumId w:val="27"/>
  </w:num>
  <w:num w:numId="26">
    <w:abstractNumId w:val="20"/>
  </w:num>
  <w:num w:numId="27">
    <w:abstractNumId w:val="23"/>
  </w:num>
  <w:num w:numId="28">
    <w:abstractNumId w:val="15"/>
  </w:num>
  <w:num w:numId="29">
    <w:abstractNumId w:val="25"/>
  </w:num>
  <w:num w:numId="30">
    <w:abstractNumId w:val="31"/>
  </w:num>
  <w:num w:numId="31">
    <w:abstractNumId w:val="10"/>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673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A3003"/>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377C"/>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D63E7"/>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83D11"/>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0C4"/>
    <w:rsid w:val="00E3588D"/>
    <w:rsid w:val="00E41E1B"/>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4DF68-C3FA-4F6C-AACA-682D852E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30</Pages>
  <Words>6046</Words>
  <Characters>33253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2019-01-18T20:36:00Z</cp:lastPrinted>
  <dcterms:created xsi:type="dcterms:W3CDTF">2019-01-10T22:09:00Z</dcterms:created>
  <dcterms:modified xsi:type="dcterms:W3CDTF">2019-01-18T20:36:00Z</dcterms:modified>
</cp:coreProperties>
</file>